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CN-0129 · Criminal</w:t>
      </w:r>
    </w:p>
    <w:p>
      <w:pPr>
        <w:pStyle w:val="Title"/>
      </w:pPr>
      <w:r>
        <w:t xml:space="preserve">Criminal Conspiracy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to do an illegal act as an offence in itself, how it is inferred from conduct, and when it ends.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120A, 120B (now Bharatiya Nyaya Sanhita, 2023, § 61)</w:t>
      </w:r>
    </w:p>
    <w:p>
      <w:pPr>
        <w:pStyle w:val="Bullet"/>
      </w:pPr>
      <w:r>
        <w:t xml:space="preserve">•  Kehar Singh v. State (Delhi Admn.), (1988) 3 SCC 609</w:t>
      </w:r>
    </w:p>
    <w:p>
      <w:pPr>
        <w:pStyle w:val="Bullet"/>
      </w:pPr>
      <w:r>
        <w:t xml:space="preserve">•  State (NCT of Delhi) v. Navjot Sandhu, (2005) 11 SCC 600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https://firstprecedent.org/concepts/criminal-conspiracy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