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CN-0135 · Criminal</w:t>
      </w:r>
    </w:p>
    <w:p>
      <w:pPr>
        <w:pStyle w:val="Title"/>
      </w:pPr>
      <w:r>
        <w:t xml:space="preserve">Criminal Breach of Trust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Dishonest misuse of property by a person entrusted with it, and what counts as entrustment between partners, spouses and employers.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405 (now Bharatiya Nyaya Sanhita, 2023, § 316)</w:t>
      </w:r>
    </w:p>
    <w:p>
      <w:pPr>
        <w:pStyle w:val="Bullet"/>
      </w:pPr>
      <w:r>
        <w:t xml:space="preserve">•  Velji Raghavji Patel v. State of Maharashtra, AIR 1965 SC 1433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https://firstprecedent.org/concepts/criminal-breach-of-trust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