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CN-0738 · International (Public)</w:t>
      </w:r>
    </w:p>
    <w:p>
      <w:pPr>
        <w:pStyle w:val="Title"/>
      </w:pPr>
      <w:r>
        <w:t xml:space="preserve">Countermeasures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Acts otherwise unlawful that an injured State may take to induce another to comply, and the limits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arts. 49–54 (2001)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https://firstprecedent.org/concepts/countermeasures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