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CN-0100 · Constitutional</w:t>
      </w:r>
    </w:p>
    <w:p>
      <w:pPr>
        <w:pStyle w:val="Title"/>
      </w:pPr>
      <w:r>
        <w:t xml:space="preserve">Corrupt Practice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conduct that voids an election, from bribery to appeals to religion, and the standard to which it must be proved.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Representation of the People Act, 1951, § 123</w:t>
      </w:r>
    </w:p>
    <w:p>
      <w:pPr>
        <w:pStyle w:val="Bullet"/>
      </w:pPr>
      <w:r>
        <w:t xml:space="preserve">•  Abhiram Singh v. C.D. Commachen, (2017) 2 SCC 629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https://firstprecedent.org/concepts/corrupt-practice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