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CN-0686 · IP</w:t>
      </w:r>
    </w:p>
    <w:p>
      <w:pPr>
        <w:pStyle w:val="Title"/>
      </w:pPr>
      <w:r>
        <w:t xml:space="preserve">Copyright in Designs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loss of copyright in a design capable of registration once it has been applied to more than fifty articles.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15</w:t>
      </w:r>
    </w:p>
    <w:p>
      <w:pPr>
        <w:pStyle w:val="Bullet"/>
      </w:pPr>
      <w:r>
        <w:t xml:space="preserve">•  Microfibres Inc. v. Girdhar &amp; Co., 2009 SCC OnLine Del 1647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https://firstprecedent.org/concepts/copyright-in-designs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