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CN-0001 · Constitutional</w:t>
      </w:r>
    </w:p>
    <w:p>
      <w:pPr>
        <w:pStyle w:val="Title"/>
      </w:pPr>
      <w:r>
        <w:t xml:space="preserve">Constitutional Morality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the phrase meant to Ambedkar, how the Supreme Court turned it into a standard for testing law, and the criticism that it has no fixed content.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Navtej Singh Johar v. Union of India, (2018) 10 SCC 1</w:t>
      </w:r>
    </w:p>
    <w:p>
      <w:pPr>
        <w:pStyle w:val="Bullet"/>
      </w:pPr>
      <w:r>
        <w:t xml:space="preserve">•  Indian Young Lawyers Assn. v. State of Kerala, (2019) 11 SCC 1</w:t>
      </w:r>
    </w:p>
    <w:p>
      <w:pPr>
        <w:pStyle w:val="Bullet"/>
      </w:pPr>
      <w:r>
        <w:t xml:space="preserve">•  Constituent Assembly Debates, vol. VII (4 Nov. 1948) (B.R. Ambedkar)</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https://firstprecedent.org/concepts/constitutional-morality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