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CN-0460 · Constitutional</w:t>
      </w:r>
    </w:p>
    <w:p>
      <w:pPr>
        <w:pStyle w:val="Title"/>
      </w:pPr>
      <w:r>
        <w:t xml:space="preserve">Constituent Power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amend the Constitution, how it differs from ordinary legislative power, and why it is nonetheless limited.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368</w:t>
      </w:r>
    </w:p>
    <w:p>
      <w:pPr>
        <w:pStyle w:val="Bullet"/>
      </w:pPr>
      <w:r>
        <w:t xml:space="preserve">•  Kesavananda Bharati v. State of Kerala, (1973) 4 SCC 225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https://firstprecedent.org/concepts/constituent-power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