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CN-0434 · Legal History</w:t>
      </w:r>
    </w:p>
    <w:p>
      <w:pPr>
        <w:pStyle w:val="Title"/>
      </w:pPr>
      <w:r>
        <w:t xml:space="preserve">Constituent Assembly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framed the Constitution between 1946 and 1949, how it was chosen, and the legal basis of its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Independence Act, 1947, 10 &amp; 11 Geo. 6, c. 30, § 8</w:t>
      </w:r>
    </w:p>
    <w:p>
      <w:pPr>
        <w:pStyle w:val="Bullet"/>
      </w:pPr>
      <w:r>
        <w:t xml:space="preserve">•  Constituent Assembly Debates, vol. VII (4 Nov. 1948) (B.R. Ambedkar)</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https://firstprecedent.org/concepts/constituent-assembly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