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CN-0710 · Environment</w:t>
      </w:r>
    </w:p>
    <w:p>
      <w:pPr>
        <w:pStyle w:val="Title"/>
      </w:pPr>
      <w:r>
        <w:t xml:space="preserve">Consent to Establish and Operate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permission an industry needs from the pollution control board before it discharges effluent or emissions.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Water (Prevention and Control of Pollution) Act, 1974, § 25</w:t>
      </w:r>
    </w:p>
    <w:p>
      <w:pPr>
        <w:pStyle w:val="Bullet"/>
      </w:pPr>
      <w:r>
        <w:t xml:space="preserve">•  Air (Prevention and Control of Pollution) Act, 1981, §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https://firstprecedent.org/concepts/consent-to-establish-and-operate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