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CN-0138 · Criminal</w:t>
      </w:r>
    </w:p>
    <w:p>
      <w:pPr>
        <w:pStyle w:val="Title"/>
      </w:pPr>
      <w:r>
        <w:t xml:space="preserve">Consent in Sexual Offences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the law means by consent to a sexual act, why submission is not consent, and the changes that followed the Mathura case.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375 (now Bharatiya Nyaya Sanhita, 2023, § 63)</w:t>
      </w:r>
    </w:p>
    <w:p>
      <w:pPr>
        <w:pStyle w:val="Bullet"/>
      </w:pPr>
      <w:r>
        <w:t xml:space="preserve">•  Tukaram v. State of Maharashtra, (1979) 2 SCC 143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https://firstprecedent.org/concepts/consent-in-sexual-offences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