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CN-0367 · IP</w:t>
      </w:r>
    </w:p>
    <w:p>
      <w:pPr>
        <w:pStyle w:val="Title"/>
      </w:pPr>
      <w:r>
        <w:t xml:space="preserve">Confidential Information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Information protected in equity and by contract against misuse, and the three things a claimant must show.</w:t>
      </w:r>
    </w:p>
    <w:p>
      <w:pPr>
        <w:pStyle w:val="Guidance"/>
      </w:pPr>
      <w:r>
        <w:t xml:space="preserve">Authorities to start from. These are places to begin, listed by the editors. Read each one in the original and check the citation before you rely on it.</w:t>
      </w:r>
    </w:p>
    <w:p>
      <w:pPr>
        <w:pStyle w:val="Bullet"/>
      </w:pPr>
      <w:r>
        <w:t xml:space="preserve">•  John Richard Brady v. Chemical Process Equipments (P) Ltd., AIR 1987 Del 372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https://firstprecedent.org/concepts/confidential-information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