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CN-0217 · Contract</w:t>
      </w:r>
    </w:p>
    <w:p>
      <w:pPr>
        <w:pStyle w:val="Title"/>
      </w:pPr>
      <w:r>
        <w:t xml:space="preserve">Condition and Warranty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term essential to the main purpose of a sale and one collateral to it, and the different remedies for breach of each.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Sale of Goods Act, 1930, §§ 12, 13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https://firstprecedent.org/concepts/condition-and-warranty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