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CN-0194 · Civil Procedure</w:t>
      </w:r>
    </w:p>
    <w:p>
      <w:pPr>
        <w:pStyle w:val="Title"/>
      </w:pPr>
      <w:r>
        <w:t xml:space="preserve">Compromise Decree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decree passed on a lawful written agreement between the parties, and the only way in which it can later be challenged.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XXIII, Rule 3</w:t>
      </w:r>
    </w:p>
    <w:p>
      <w:pPr>
        <w:pStyle w:val="Bullet"/>
      </w:pPr>
      <w:r>
        <w:t xml:space="preserve">•  Pushpa Devi Bhagat v. Rajinder Singh, (2006) 5 SCC 566</w:t>
      </w:r>
    </w:p>
    <w:p>
      <w:pPr>
        <w:pStyle w:val="Bullet"/>
      </w:pPr>
      <w:r>
        <w:t xml:space="preserve">•  Banwari Lal v. Chando Devi, (1993) 1 SCC 581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https://firstprecedent.org/concepts/compromise-decree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