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CN-0504 · Criminal</w:t>
      </w:r>
    </w:p>
    <w:p>
      <w:pPr>
        <w:pStyle w:val="Title"/>
      </w:pPr>
      <w:r>
        <w:t xml:space="preserve">Complaint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allegation made to a magistrate with a view to action, and the examination of the complainant that follows.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2(d), 200 (now Bharatiya Nagarik Suraksha Sanhita, 2023, §§ 2(1)(h), 223)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https://firstprecedent.org/concepts/complaint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