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CN-0384 · Environment</w:t>
      </w:r>
    </w:p>
    <w:p>
      <w:pPr>
        <w:pStyle w:val="Title"/>
      </w:pPr>
      <w:r>
        <w:t xml:space="preserve">Compensatory Afforestation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planting and payment required when forest land is diverted to another use, and the fund that holds the money.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Compensatory Afforestation Fund Act, 2016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https://firstprecedent.org/concepts/compensatory-afforestation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