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CN-0016 · Criminal</w:t>
      </w:r>
    </w:p>
    <w:p>
      <w:pPr>
        <w:pStyle w:val="Title"/>
      </w:pPr>
      <w:r>
        <w:t xml:space="preserve">Common Intention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Joint liability for an act done by several in furtherance of a shared intention: prior concert, participation, and the line from common object.</w:t>
      </w:r>
    </w:p>
    <w:p>
      <w:pPr>
        <w:pStyle w:val="Guidance"/>
      </w:pPr>
      <w:r>
        <w:t xml:space="preserve">Authorities to start from. These are places to begin, listed by the editors. Read each one in the original and check the citation before you rely on it.</w:t>
      </w:r>
    </w:p>
    <w:p>
      <w:pPr>
        <w:pStyle w:val="Bullet"/>
      </w:pPr>
      <w:r>
        <w:t xml:space="preserve">•  Barendra Kumar Ghosh v. King-Emperor, AIR 1925 PC 1</w:t>
      </w:r>
    </w:p>
    <w:p>
      <w:pPr>
        <w:pStyle w:val="Bullet"/>
      </w:pPr>
      <w:r>
        <w:t xml:space="preserve">•  Mahbub Shah v. King-Emperor, AIR 1945 PC 118</w:t>
      </w:r>
    </w:p>
    <w:p>
      <w:pPr>
        <w:pStyle w:val="Bullet"/>
      </w:pPr>
      <w:r>
        <w:t xml:space="preserve">•  Indian Penal Code, 1860, § 34 (now Bharatiya Nyaya Sanhita, 2023, § 3(5))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https://firstprecedent.org/concepts/common-intention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