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CN-0628 · Competition</w:t>
      </w:r>
    </w:p>
    <w:p>
      <w:pPr>
        <w:pStyle w:val="Title"/>
      </w:pPr>
      <w:r>
        <w:t xml:space="preserve">Commitments and Settlements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2023 routes by which a party under investigation may offer undertakings or settle without a finding.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48A, 48B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https://firstprecedent.org/concepts/commitments-and-settlements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