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CN-0106 · Constitutional</w:t>
      </w:r>
    </w:p>
    <w:p>
      <w:pPr>
        <w:pStyle w:val="Title"/>
      </w:pPr>
      <w:r>
        <w:t xml:space="preserve">Collective Responsibility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answerability of the Council of Ministers as a body to the House, and what it means for an individual minister.</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arts. 75(3), 164(2)</w:t>
      </w:r>
    </w:p>
    <w:p>
      <w:pPr>
        <w:pStyle w:val="Bullet"/>
      </w:pPr>
      <w:r>
        <w:t xml:space="preserve">•  S.P. Anand v. H.D. Deve Gowda, (1996) 6 SCC 734</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https://firstprecedent.org/concepts/collective-responsibility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