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CN-0048 · Securities</w:t>
      </w:r>
    </w:p>
    <w:p>
      <w:pPr>
        <w:pStyle w:val="Title"/>
      </w:pPr>
      <w:r>
        <w:t xml:space="preserve">Collective Investment Scheme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Pooled investment arrangements that fall under SEBI regulation whatever they are called: the four statutory conditions.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11AA</w:t>
      </w:r>
    </w:p>
    <w:p>
      <w:pPr>
        <w:pStyle w:val="Bullet"/>
      </w:pPr>
      <w:r>
        <w:t xml:space="preserve">•  PGF Ltd. v. Union of India, (2015) 13 SCC 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https://firstprecedent.org/concepts/collective-investment-scheme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