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CN-0093 · Civil Procedure</w:t>
      </w:r>
    </w:p>
    <w:p>
      <w:pPr>
        <w:pStyle w:val="Title"/>
      </w:pPr>
      <w:r>
        <w:t xml:space="preserve">Civil Contempt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Wilful disobedience of a court’s order or breach of an undertaking: what must be proved and what the court can do about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Contempt of Courts Act, 1971, § 2(b)</w:t>
      </w:r>
    </w:p>
    <w:p>
      <w:pPr>
        <w:pStyle w:val="Bullet"/>
      </w:pPr>
      <w:r>
        <w:t xml:space="preserve">•  Ashok Paper Kamgar Union v. Dharam Godha, (2003) 11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https://firstprecedent.org/concepts/civil-contempt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