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CN-0071 · Constitutional</w:t>
      </w:r>
    </w:p>
    <w:p>
      <w:pPr>
        <w:pStyle w:val="Title"/>
      </w:pPr>
      <w:r>
        <w:t xml:space="preserve">Citizenship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was a citizen when the Constitution began, how citizenship is acquired and lost after that, and what Parliament may regulate.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5–11</w:t>
      </w:r>
    </w:p>
    <w:p>
      <w:pPr>
        <w:pStyle w:val="Bullet"/>
      </w:pPr>
      <w:r>
        <w:t xml:space="preserve">•  Citizenship Act, 1955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https://firstprecedent.org/concepts/citizenship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