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CN-0267 · Family</w:t>
      </w:r>
    </w:p>
    <w:p>
      <w:pPr>
        <w:pStyle w:val="Title"/>
      </w:pPr>
      <w:r>
        <w:t xml:space="preserve">Child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Marriage below the statutory age, why it is voidable rather than void, and the offences around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Child Marriage Act, 2006, § 3</w:t>
      </w:r>
    </w:p>
    <w:p>
      <w:pPr>
        <w:pStyle w:val="Bullet"/>
      </w:pPr>
      <w:r>
        <w:t xml:space="preserve">•  Independent Thought v. Union of India, (2017) 10 SCC 800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https://firstprecedent.org/concepts/child-marriage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