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CN-0134 · Criminal</w:t>
      </w:r>
    </w:p>
    <w:p>
      <w:pPr>
        <w:pStyle w:val="Title"/>
      </w:pPr>
      <w:r>
        <w:t xml:space="preserve">Cheating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Deceiving a person into parting with property or acting to their harm, and how it is told apart from a mere breach of contract.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415, 420 (now Bharatiya Nyaya Sanhita, 2023, § 318)</w:t>
      </w:r>
    </w:p>
    <w:p>
      <w:pPr>
        <w:pStyle w:val="Bullet"/>
      </w:pPr>
      <w:r>
        <w:t xml:space="preserve">•  Hridaya Ranjan Prasad Verma v. State of Bihar, (2000) 4 SCC 168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https://firstprecedent.org/concepts/cheating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