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CN-0174 · Evidence</w:t>
      </w:r>
    </w:p>
    <w:p>
      <w:pPr>
        <w:pStyle w:val="Title"/>
      </w:pPr>
      <w:r>
        <w:t xml:space="preserve">Character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party’s good or bad character may be proved, and the different rules for civil and criminal cases.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52–55 (now Bharatiya Sakshya Adhiniyam, 2023, §§ 46–50)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https://firstprecedent.org/concepts/character-evidence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