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CN-0081 · Administrative</w:t>
      </w:r>
    </w:p>
    <w:p>
      <w:pPr>
        <w:pStyle w:val="Title"/>
      </w:pPr>
      <w:r>
        <w:t xml:space="preserve">Certiorari</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writ that quashes a decision of a court, tribunal or authority, and the errors for which it is issued.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arts. 32, 226</w:t>
      </w:r>
    </w:p>
    <w:p>
      <w:pPr>
        <w:pStyle w:val="Bullet"/>
      </w:pPr>
      <w:r>
        <w:t xml:space="preserve">•  T.C. Basappa v. T. Nagappa, AIR 1954 SC 440</w:t>
      </w:r>
    </w:p>
    <w:p>
      <w:pPr>
        <w:pStyle w:val="Bullet"/>
      </w:pPr>
      <w:r>
        <w:t xml:space="preserve">•  Hari Vishnu Kamath v. Syed Ahmad Ishaque, AIR 1955 SC 233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https://firstprecedent.org/concepts/certiorari</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