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CN-0014 · Civil Procedure</w:t>
      </w:r>
    </w:p>
    <w:p>
      <w:pPr>
        <w:pStyle w:val="Title"/>
      </w:pPr>
      <w:r>
        <w:t xml:space="preserve">Cause of 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bundle of facts a plaintiff must prove to succeed, and how it fixes the forum, limitation and the bar on splitting claims.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20 and Order II, Rule 2</w:t>
      </w:r>
    </w:p>
    <w:p>
      <w:pPr>
        <w:pStyle w:val="Bullet"/>
      </w:pPr>
      <w:r>
        <w:t xml:space="preserve">•  A.B.C. Laminart (P) Ltd. v. A.P. Agencies, (1989) 2 SCC 163</w:t>
      </w:r>
    </w:p>
    <w:p>
      <w:pPr>
        <w:pStyle w:val="Bullet"/>
      </w:pPr>
      <w:r>
        <w:t xml:space="preserve">•  Kusum Ingots &amp; Alloys Ltd. v. Union of India, (2004) 6 SCC 254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https://firstprecedent.org/concepts/cause-of-action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