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CN-0717 · Environment</w:t>
      </w:r>
    </w:p>
    <w:p>
      <w:pPr>
        <w:pStyle w:val="Title"/>
      </w:pPr>
      <w:r>
        <w:t xml:space="preserve">Carbon Credit Trading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domestic carbon market set up under the 2022 amendment to the energy conservation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Energy Conservation (Amendment) Act, 2022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https://firstprecedent.org/concepts/carbon-credit-trading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