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CN-0325 · Tax</w:t>
      </w:r>
    </w:p>
    <w:p>
      <w:pPr>
        <w:pStyle w:val="Title"/>
      </w:pPr>
      <w:r>
        <w:t xml:space="preserve">Capital Asset and Transfer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property whose transfer gives rise to capital gains, and the wide meaning the Act gives to “transfer”.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2(14), 2(47), 45</w:t>
      </w:r>
    </w:p>
    <w:p>
      <w:pPr>
        <w:pStyle w:val="Bullet"/>
      </w:pPr>
      <w:r>
        <w:t xml:space="preserve">•  CIT v. B.C. Srinivasa Setty, (1981) 2 SCC 460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https://firstprecedent.org/concepts/capital-asset-and-transfer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