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CN-0018 · Evidence</w:t>
      </w:r>
    </w:p>
    <w:p>
      <w:pPr>
        <w:pStyle w:val="Title"/>
      </w:pPr>
      <w:r>
        <w:t xml:space="preserve">Burden of Proof</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Legal and evidential burdens, how the onus shifts, the two standards of proof, and statutory reverse burdens.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101–106</w:t>
      </w:r>
    </w:p>
    <w:p>
      <w:pPr>
        <w:pStyle w:val="Bullet"/>
      </w:pPr>
      <w:r>
        <w:t xml:space="preserve">•  Woolmington v. DPP, [1935] AC 462</w:t>
      </w:r>
    </w:p>
    <w:p>
      <w:pPr>
        <w:pStyle w:val="Bullet"/>
      </w:pPr>
      <w:r>
        <w:t xml:space="preserve">•  Noor Aga v. State of Punjab, (2008) 16 SCC 417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https://firstprecedent.org/concepts/burden-of-proof</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