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CN-0346 · Labour</w:t>
      </w:r>
    </w:p>
    <w:p>
      <w:pPr>
        <w:pStyle w:val="Title"/>
      </w:pPr>
      <w:r>
        <w:t xml:space="preserve">Bonus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statutory annual payment linked to profit or productivity, with a guaranteed minimum whether or not there is profit.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Payment of Bonus Act, 1965</w:t>
      </w:r>
    </w:p>
    <w:p>
      <w:pPr>
        <w:pStyle w:val="Bullet"/>
      </w:pPr>
      <w:r>
        <w:t xml:space="preserve">•  Jalan Trading Co. (P) Ltd. v. Mill Mazdoor Sabha, AIR 1967 SC 691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https://firstprecedent.org/concepts/bonus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