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CN-0125 · Administrative</w:t>
      </w:r>
    </w:p>
    <w:p>
      <w:pPr>
        <w:pStyle w:val="Title"/>
      </w:pPr>
      <w:r>
        <w:t xml:space="preserve">Blacklisting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order barring a person from dealing with government, why it needs a hearing first, and the limits on how long it may last.</w:t>
      </w:r>
    </w:p>
    <w:p>
      <w:pPr>
        <w:pStyle w:val="Guidance"/>
      </w:pPr>
      <w:r>
        <w:t xml:space="preserve">Authorities to start from. These are places to begin, listed by the editors. Read each one in the original and check the citation before you rely on it.</w:t>
      </w:r>
    </w:p>
    <w:p>
      <w:pPr>
        <w:pStyle w:val="Bullet"/>
      </w:pPr>
      <w:r>
        <w:t xml:space="preserve">•  Erusian Equipment &amp; Chemicals Ltd. v. State of W.B., (1975) 1 SCC 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https://firstprecedent.org/concepts/blacklisting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