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CN-0247 · Property</w:t>
      </w:r>
    </w:p>
    <w:p>
      <w:pPr>
        <w:pStyle w:val="Title"/>
      </w:pPr>
      <w:r>
        <w:t xml:space="preserve">Benami Transaction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held in one person’s name and paid for by another, the prohibition, and the exceptions for family and fiduciaries.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Prohibition of Benami Property Transactions Act, 1988, §§ 2(9), 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https://firstprecedent.org/concepts/benami-transaction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