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CN-0075 · Constitutional</w:t>
      </w:r>
    </w:p>
    <w:p>
      <w:pPr>
        <w:pStyle w:val="Title"/>
      </w:pPr>
      <w:r>
        <w:t xml:space="preserve">Backward Class of Citizens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a class is identified as socially and educationally backward, the place of caste in that exercise, and who decides.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15(4), 16(4), 340</w:t>
      </w:r>
    </w:p>
    <w:p>
      <w:pPr>
        <w:pStyle w:val="Bullet"/>
      </w:pPr>
      <w:r>
        <w:t xml:space="preserve">•  Indra Sawhney v. Union of India, 1992 Supp (3) SCC 217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https://firstprecedent.org/concepts/backward-class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