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CN-0357 · IP</w:t>
      </w:r>
    </w:p>
    <w:p>
      <w:pPr>
        <w:pStyle w:val="Title"/>
      </w:pPr>
      <w:r>
        <w:t xml:space="preserve">Author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the law treats as the author of each kind of work, and why the first owner of copyright may be someone else.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2(d)</w:t>
      </w:r>
    </w:p>
    <w:p>
      <w:pPr>
        <w:pStyle w:val="Bullet"/>
      </w:pPr>
      <w:r>
        <w:t xml:space="preserve">•  Copyright Act, 1957, § 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https://firstprecedent.org/concepts/author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