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CN-0131 · Criminal</w:t>
      </w:r>
    </w:p>
    <w:p>
      <w:pPr>
        <w:pStyle w:val="Title"/>
      </w:pPr>
      <w:r>
        <w:t xml:space="preserve">Attempt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Where preparation ends and an attempt to commit an offence begins, and the tests courts have used to draw that line.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511 (now Bharatiya Nyaya Sanhita, 2023, § 62)</w:t>
      </w:r>
    </w:p>
    <w:p>
      <w:pPr>
        <w:pStyle w:val="Bullet"/>
      </w:pPr>
      <w:r>
        <w:t xml:space="preserve">•  Abhayanand Mishra v. State of Bihar, AIR 1961 SC 1698</w:t>
      </w:r>
    </w:p>
    <w:p>
      <w:pPr>
        <w:pStyle w:val="Bullet"/>
      </w:pPr>
      <w:r>
        <w:t xml:space="preserve">•  State of Maharashtra v. Mohd. Yakub, (1980) 3 SCC 57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https://firstprecedent.org/concepts/attempt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