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CN-0158 · Criminal</w:t>
      </w:r>
    </w:p>
    <w:p>
      <w:pPr>
        <w:pStyle w:val="Title"/>
      </w:pPr>
      <w:r>
        <w:t xml:space="preserve">Atrocity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offences against members of Scheduled Castes and Tribes created in 1989, and the contest over arrest and anticipatory bail under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Scheduled Castes and the Scheduled Tribes (Prevention of Atrocities) Act, 1989, § 3</w:t>
      </w:r>
    </w:p>
    <w:p>
      <w:pPr>
        <w:pStyle w:val="Bullet"/>
      </w:pPr>
      <w:r>
        <w:t xml:space="preserve">•  Subhash Kashinath Mahajan v. State of Maharashtra, (2018) 6 SCC 454</w:t>
      </w:r>
    </w:p>
    <w:p>
      <w:pPr>
        <w:pStyle w:val="Bullet"/>
      </w:pPr>
      <w:r>
        <w:t xml:space="preserve">•  Prathvi Raj Chauhan v. Union of India, (2020) 4 SCC 727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https://firstprecedent.org/concepts/atrocity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