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CN-0555 · Contract</w:t>
      </w:r>
    </w:p>
    <w:p>
      <w:pPr>
        <w:pStyle w:val="Title"/>
      </w:pPr>
      <w:r>
        <w:t xml:space="preserve">Assignment of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the benefit of a contract can be assigned but its burden cannot, and the exception for contracts of a personal nature.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Khardah Co. Ltd. v. Raymon &amp; Co. (India) (P) Ltd., AIR 1962 SC 1810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https://firstprecedent.org/concepts/assignment-of-contracts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