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CN-0321 · Tax</w:t>
      </w:r>
    </w:p>
    <w:p>
      <w:pPr>
        <w:pStyle w:val="Title"/>
      </w:pPr>
      <w:r>
        <w:t xml:space="preserve">Assessee and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seven kinds of person the Income-tax Act taxes, and who counts as an assessee, including one treated as in default.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2(7), 2(31)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https://firstprecedent.org/concepts/assessee-and-person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