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CN-0148 · Criminal</w:t>
      </w:r>
    </w:p>
    <w:p>
      <w:pPr>
        <w:pStyle w:val="Title"/>
      </w:pPr>
      <w:r>
        <w:t xml:space="preserve">Arrest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police may arrest without a warrant, the reasons they must record, and the rights of the person arrested.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41 (now Bharatiya Nagarik Suraksha Sanhita, 2023, § 35)</w:t>
      </w:r>
    </w:p>
    <w:p>
      <w:pPr>
        <w:pStyle w:val="Bullet"/>
      </w:pPr>
      <w:r>
        <w:t xml:space="preserve">•  Joginder Kumar v. State of U.P., (1994) 4 SCC 260</w:t>
      </w:r>
    </w:p>
    <w:p>
      <w:pPr>
        <w:pStyle w:val="Bullet"/>
      </w:pPr>
      <w:r>
        <w:t xml:space="preserve">•  Arnesh Kumar v. State of Bihar, (2014) 8 SCC 273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https://firstprecedent.org/concepts/arrest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