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CN-0388 · Arbitration</w:t>
      </w:r>
    </w:p>
    <w:p>
      <w:pPr>
        <w:pStyle w:val="Title"/>
      </w:pPr>
      <w:r>
        <w:t xml:space="preserve">Arbitration Agreement</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An agreement in writing to submit disputes to arbitration, the attributes it must have, and how it differs from expert determination.</w:t>
      </w:r>
    </w:p>
    <w:p>
      <w:pPr>
        <w:pStyle w:val="Guidance"/>
      </w:pPr>
      <w:r>
        <w:t xml:space="preserve">Authorities to start from. These are places to begin, listed by the editors. Read each one in the original and check the citation before you rely on it.</w:t>
      </w:r>
    </w:p>
    <w:p>
      <w:pPr>
        <w:pStyle w:val="Bullet"/>
      </w:pPr>
      <w:r>
        <w:t xml:space="preserve">•  Arbitration and Conciliation Act, 1996, § 7</w:t>
      </w:r>
    </w:p>
    <w:p>
      <w:pPr>
        <w:pStyle w:val="Bullet"/>
      </w:pPr>
      <w:r>
        <w:t xml:space="preserve">•  K.K. Modi v. K.N. Modi, (1998) 3 SCC 573</w:t>
      </w:r>
    </w:p>
    <w:p>
      <w:pPr>
        <w:pStyle w:val="Bullet"/>
      </w:pPr>
      <w:r>
        <w:t xml:space="preserve">•  Jagdish Chander v. Ramesh Chander, (2007) 5 SCC 719</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https://firstprecedent.org/concepts/arbitration-agreement</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