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CN-0513 · Criminal</w:t>
      </w:r>
    </w:p>
    <w:p>
      <w:pPr>
        <w:pStyle w:val="Title"/>
      </w:pPr>
      <w:r>
        <w:t xml:space="preserve">Approver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accomplice given a pardon on condition of full disclosure, and what happens if the condition is broken.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306–308 (now Bharatiya Nagarik Suraksha Sanhita, 2023, §§ 343–345)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https://firstprecedent.org/concepts/approver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