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CN-0782 · Legal History</w:t>
      </w:r>
    </w:p>
    <w:p>
      <w:pPr>
        <w:pStyle w:val="Title"/>
      </w:pPr>
      <w:r>
        <w:t xml:space="preserve">Anglo-Hindu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body of law produced when British courts applied Sanskrit texts with the help of pandits, and the place they gave to custom.</w:t>
      </w:r>
    </w:p>
    <w:p>
      <w:pPr>
        <w:pStyle w:val="Guidance"/>
      </w:pPr>
      <w:r>
        <w:t xml:space="preserve">Authorities to start from. These are places to begin, listed by the editors. Read each one in the original and check the citation before you rely on it.</w:t>
      </w:r>
    </w:p>
    <w:p>
      <w:pPr>
        <w:pStyle w:val="Bullet"/>
      </w:pPr>
      <w:r>
        <w:t xml:space="preserve">•  Collector of Madura v. Moottoo Ramalinga Sathupathy, (1868) 12 Moo IA 397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https://firstprecedent.org/concepts/anglo-hindu-law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