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CN-0272 · Family</w:t>
      </w:r>
    </w:p>
    <w:p>
      <w:pPr>
        <w:pStyle w:val="Title"/>
      </w:pPr>
      <w:r>
        <w:t xml:space="preserve">Ancestral and Self-Acquired Property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Property in which sons and daughters take an interest by birth and property a person holds alone, after the 1956 Act.</w:t>
      </w:r>
    </w:p>
    <w:p>
      <w:pPr>
        <w:pStyle w:val="Guidance"/>
      </w:pPr>
      <w:r>
        <w:t xml:space="preserve">Authorities to start from. These are places to begin, listed by the editors. Read each one in the original and check the citation before you rely on it.</w:t>
      </w:r>
    </w:p>
    <w:p>
      <w:pPr>
        <w:pStyle w:val="Bullet"/>
      </w:pPr>
      <w:r>
        <w:t xml:space="preserve">•  CWT v. Chander Sen, (1986) 3 SCC 567</w:t>
      </w:r>
    </w:p>
    <w:p>
      <w:pPr>
        <w:pStyle w:val="Bullet"/>
      </w:pPr>
      <w:r>
        <w:t xml:space="preserve">•  Uttam v. Saubhag Singh, (2016) 4 SCC 68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https://firstprecedent.org/concepts/ancestral-and-self-acquired-property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