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CN-0251 · Property</w:t>
      </w:r>
    </w:p>
    <w:p>
      <w:pPr>
        <w:pStyle w:val="Title"/>
      </w:pPr>
      <w:r>
        <w:t xml:space="preserve">Allottee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buyer of a flat or plot in a real estate project, and the rights to refund, interest and possession the 2016 Act gives.</w:t>
      </w:r>
    </w:p>
    <w:p>
      <w:pPr>
        <w:pStyle w:val="Guidance"/>
      </w:pPr>
      <w:r>
        <w:t xml:space="preserve">Authorities to start from. These are places to begin, listed by the editors. Read each one in the original and check the citation before you rely on it.</w:t>
      </w:r>
    </w:p>
    <w:p>
      <w:pPr>
        <w:pStyle w:val="Bullet"/>
      </w:pPr>
      <w:r>
        <w:t xml:space="preserve">•  Real Estate (Regulation and Development) Act, 2016, §§ 2(d), 18</w:t>
      </w:r>
    </w:p>
    <w:p>
      <w:pPr>
        <w:pStyle w:val="Bullet"/>
      </w:pPr>
      <w:r>
        <w:t xml:space="preserve">•  Newtech Promoters &amp; Developers (P) Ltd. v. State of U.P., (2021) 18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https://firstprecedent.org/concepts/allottee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