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CN-0172 · Evidence</w:t>
      </w:r>
    </w:p>
    <w:p>
      <w:pPr>
        <w:pStyle w:val="Title"/>
      </w:pPr>
      <w:r>
        <w:t xml:space="preserve">Alibi</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plea that the accused was elsewhere, who must prove it and how strictly, and what follows when it fails.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 (now Bharatiya Sakshya Adhiniyam, 2023, § 9)</w:t>
      </w:r>
    </w:p>
    <w:p>
      <w:pPr>
        <w:pStyle w:val="Bullet"/>
      </w:pPr>
      <w:r>
        <w:t xml:space="preserve">•  Dudh Nath Pandey v. State of U.P., (1981) 2 SCC 166</w:t>
      </w:r>
    </w:p>
    <w:p>
      <w:pPr>
        <w:pStyle w:val="Bullet"/>
      </w:pPr>
      <w:r>
        <w:t xml:space="preserve">•  Binay Kumar Singh v. State of Bihar, (1997) 1 SCC 283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https://firstprecedent.org/concepts/alibi</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