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CN-0754 · Human Rights</w:t>
      </w:r>
    </w:p>
    <w:p>
      <w:pPr>
        <w:pStyle w:val="Title"/>
      </w:pPr>
      <w:r>
        <w:t xml:space="preserve">Advance Directive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person’s written instructions on how they wish to be treated, or not treated, if they later lose capacity.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Mental Healthcare Act, 2017, § 5</w:t>
      </w:r>
    </w:p>
    <w:p>
      <w:pPr>
        <w:pStyle w:val="Bullet"/>
      </w:pPr>
      <w:r>
        <w:t xml:space="preserve">•  Common Cause v. Union of India, (2018) 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https://firstprecedent.org/concepts/advance-directive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