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CN-0240 · Property</w:t>
      </w:r>
    </w:p>
    <w:p>
      <w:pPr>
        <w:pStyle w:val="Title"/>
      </w:pPr>
      <w:r>
        <w:t xml:space="preserve">Actionable Claim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claim to an unsecured debt or to movable property not in possession, and how it is assigned.</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3, 130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https://firstprecedent.org/concepts/actionable-claim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