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CN-0383 · Environment</w:t>
      </w:r>
    </w:p>
    <w:p>
      <w:pPr>
        <w:pStyle w:val="Title"/>
      </w:pPr>
      <w:r>
        <w:t xml:space="preserve">Access and Benefit Sharing</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duty to share the gains from using biological resources with the communities that conserve them, and who must pay.</w:t>
      </w:r>
    </w:p>
    <w:p>
      <w:pPr>
        <w:pStyle w:val="Guidance"/>
      </w:pPr>
      <w:r>
        <w:t xml:space="preserve">Authorities to start from. These are places to begin, listed by the editors. Read each one in the original and check the citation before you rely on it.</w:t>
      </w:r>
    </w:p>
    <w:p>
      <w:pPr>
        <w:pStyle w:val="Bullet"/>
      </w:pPr>
      <w:r>
        <w:t xml:space="preserve">•  Biological Diversity Act, 2002, §§ 3, 7, 21</w:t>
      </w:r>
    </w:p>
    <w:p>
      <w:pPr>
        <w:pStyle w:val="Bullet"/>
      </w:pPr>
      <w:r>
        <w:t xml:space="preserve">•  Divya Pharmacy v. Union of India, 2018 SCC OnLine Utt 1035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https://firstprecedent.org/concepts/access-and-benefit-sharing</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