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CN-0130 · Criminal</w:t>
      </w:r>
    </w:p>
    <w:p>
      <w:pPr>
        <w:pStyle w:val="Title"/>
      </w:pPr>
      <w:r>
        <w:t xml:space="preserve">Abetment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Instigating, conspiring in or intentionally aiding an offence, and the liability of an abettor when the act done differs from the act abetted.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107, 108 (now Bharatiya Nyaya Sanhita, 2023, §§ 45, 46)</w:t>
      </w:r>
    </w:p>
    <w:p>
      <w:pPr>
        <w:pStyle w:val="Bullet"/>
      </w:pPr>
      <w:r>
        <w:t xml:space="preserve">•  Shri Ram v. State of U.P., (1975) 3 SCC 495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https://firstprecedent.org/concepts/abetment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