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CN-0142 · Criminal</w:t>
      </w:r>
    </w:p>
    <w:p>
      <w:pPr>
        <w:pStyle w:val="Title"/>
      </w:pPr>
      <w:r>
        <w:t xml:space="preserve">Abetment of Suicide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person is criminally answerable for another’s suicide, and how much instigation or aid the prosecution must show.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306 (now Bharatiya Nyaya Sanhita, 2023, § 108)</w:t>
      </w:r>
    </w:p>
    <w:p>
      <w:pPr>
        <w:pStyle w:val="Bullet"/>
      </w:pPr>
      <w:r>
        <w:t xml:space="preserve">•  Ramesh Kumar v. State of Chhattisgarh, (2001) 9 SCC 618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https://firstprecedent.org/concepts/abetment-of-suicide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